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ROSCI0390ZPB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Sărăturile Diniaș</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938754507"/>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50352451"/>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389793122"/>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595,07</w:t>
      </w:r>
    </w:p>
    <w:p w:rsidR="00000000" w:rsidDel="00000000" w:rsidP="00000000" w:rsidRDefault="00000000" w:rsidRPr="00000000" w14:paraId="00000041">
      <w:pPr>
        <w:spacing w:after="80" w:before="240" w:line="300" w:lineRule="auto"/>
        <w:rPr>
          <w:b w:val="1"/>
          <w:bCs w:val="1"/>
          <w:sz w:val="22"/>
          <w:szCs w:val="22"/>
        </w:rPr>
      </w:pPr>
      <w:r>
        <w:rPr>
          <w:rtl w:val="0"/>
        </w:rPr>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56,54%</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RO42</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Vest</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Timiș</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31610661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415417663"/>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124707409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100%</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82663329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171580217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2085229760"/>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Pr>
          <w:rtl w:val="0"/>
        </w:rPr>
      </w:r>
    </w:p>
    <w:p w:rsidR="00000000" w:rsidDel="00000000" w:rsidP="00000000" w:rsidRDefault="00000000" w:rsidRPr="00000000" w14:paraId="00000059">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595,07</w:t>
      </w:r>
    </w:p>
    <w:p w:rsidR="00000000" w:rsidDel="00000000" w:rsidP="00000000" w:rsidRDefault="00000000" w:rsidRPr="00000000" w14:paraId="00000063">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Timiș nr. 19/1995: Sărăturile Diniaș;</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RONPA0763 Sărăturile Diniaș;</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1531/2016 privind aprobarea Planului de management și a Regulamentului siturilor Natura 2000 ROSPA0144 Uivar–Diniaș și ROSCI0390 Sărăturile </w:t>
      </w:r>
      <w:sdt>
        <w:sdtPr>
          <w:id w:val="2009983375"/>
          <w:tag w:val="goog_rdk_9"/>
        </w:sdtPr>
        <w:sdtContent/>
      </w:sdt>
      <w:r>
        <w:rPr>
          <w:sz w:val="22"/>
          <w:szCs w:val="22"/>
          <w:rtl w:val="0"/>
        </w:rPr>
        <w:t xml:space="preserve">Diniaș</w:t>
      </w:r>
      <w:r>
        <w:rPr>
          <w:sz w:val="22"/>
          <w:szCs w:val="22"/>
          <w:rtl w:val="0"/>
        </w:rPr>
        <w:t xml:space="preserve">.</w:t>
      </w:r>
    </w:p>
    <w:p w:rsidR="00000000" w:rsidDel="00000000" w:rsidP="00000000" w:rsidRDefault="00000000" w:rsidRPr="00000000" w14:paraId="1066202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sdt>
        <w:sdtPr>
          <w:id w:val="2009983375"/>
          <w:tag w:val="goog_rdk_9"/>
        </w:sdtPr>
        <w:sdtContent/>
      </w:sdt>
      <w:r>
        <w:rPr>
          <w:sz w:val="22"/>
          <w:szCs w:val="22"/>
          <w:rtl w:val="0"/>
        </w:rPr>
        <w:t xml:space="preserve"/>
      </w:r>
      <w:r/>
      <w:r>
        <w:rPr>
          <w:sz w:val="22"/>
          <w:szCs w:val="22"/>
          <w:rtl w:val="0"/>
        </w:rPr>
        <w:t xml:space="preserve"/>
      </w:r>
    </w:p>
    <w:p w:rsidR="00000000" w:rsidDel="00000000" w:rsidP="00000000" w:rsidRDefault="00000000" w:rsidRPr="00000000" w14:paraId="00000068">
      <w:pPr>
        <w:spacing w:after="0" w:line="240" w:lineRule="auto"/>
        <w:rPr>
          <w:sz w:val="22"/>
          <w:szCs w:val="22"/>
        </w:rPr>
      </w:pPr>
      <w:r>
        <w:rPr>
          <w:rtl w:val="0"/>
        </w:rPr>
      </w:r>
    </w:p>
    <w:p w:rsidR="00000000" w:rsidDel="00000000" w:rsidP="00000000" w:rsidRDefault="00000000" w:rsidRPr="00000000" w14:paraId="00000069">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A">
      <w:pPr>
        <w:spacing w:after="0" w:line="240" w:lineRule="auto"/>
        <w:rPr>
          <w:sz w:val="22"/>
          <w:szCs w:val="22"/>
        </w:rPr>
      </w:pPr>
      <w:r>
        <w:rPr>
          <w:rtl w:val="0"/>
        </w:rPr>
      </w:r>
    </w:p>
    <w:tbl>
      <w:tblPr>
        <w:tblStyle w:val="Table8"/>
        <w:tblW w:w="8964.0" w:type="dxa"/>
        <w:jc w:val="left"/>
        <w:tblInd w:w="10.0" w:type="dxa"/>
        <w:tblLayout w:type="fixed"/>
        <w:tblLook w:val="0400"/>
      </w:tblPr>
      <w:tblGrid>
        <w:gridCol w:w="2817"/>
        <w:gridCol w:w="614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b w:val="1"/>
                <w:bCs w:val="1"/>
                <w:sz w:val="22"/>
                <w:szCs w:val="22"/>
                <w:rtl w:val="0"/>
              </w:rPr>
              <w:t xml:space="preserve">Descriere</w:t>
            </w:r>
            <w:r>
              <w:rPr>
                <w:rtl w:val="0"/>
              </w:rPr>
            </w:r>
          </w:p>
        </w:tc>
      </w:tr>
      <w:tr>
        <w:trPr>
          <w:cantSplit w:val="0"/>
          <w:trHeight w:val="57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b w:val="1"/>
                <w:bCs w:val="1"/>
                <w:sz w:val="22"/>
                <w:szCs w:val="22"/>
              </w:rPr>
            </w:pPr>
            <w:r>
              <w:rPr>
                <w:b w:val="1"/>
                <w:bCs w:val="1"/>
                <w:sz w:val="22"/>
                <w:szCs w:val="22"/>
                <w:rtl w:val="0"/>
              </w:rPr>
              <w:t xml:space="preserve">Habitate de stepe continentale:</w:t>
            </w:r>
          </w:p>
          <w:p w:rsidR="00000000" w:rsidDel="00000000" w:rsidP="00000000" w:rsidRDefault="00000000" w:rsidRPr="00000000" w14:paraId="0000006F">
            <w:pPr>
              <w:spacing w:after="0" w:line="240" w:lineRule="auto"/>
              <w:rPr>
                <w:sz w:val="22"/>
                <w:szCs w:val="22"/>
              </w:rPr>
            </w:pPr>
            <w:r>
              <w:rPr>
                <w:sz w:val="22"/>
                <w:szCs w:val="22"/>
                <w:rtl w:val="0"/>
              </w:rPr>
              <w:t xml:space="preserve">1530* Pajiști și mlaștini halofile panonice și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2">
            <w:pPr>
              <w:spacing w:after="0" w:line="24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73">
            <w:pPr>
              <w:spacing w:after="0" w:line="240" w:lineRule="auto"/>
              <w:rPr>
                <w:b w:val="1"/>
                <w:bCs w:val="1"/>
                <w:sz w:val="22"/>
                <w:szCs w:val="22"/>
              </w:rPr>
            </w:pPr>
            <w:r>
              <w:rPr>
                <w:b w:val="1"/>
                <w:bCs w:val="1"/>
                <w:sz w:val="22"/>
                <w:szCs w:val="22"/>
                <w:rtl w:val="0"/>
              </w:rPr>
              <w:t xml:space="preserve">Plante: 1066</w:t>
            </w:r>
          </w:p>
          <w:p w:rsidR="00000000" w:rsidDel="00000000" w:rsidP="00000000" w:rsidRDefault="00000000" w:rsidRPr="00000000" w14:paraId="00000074">
            <w:pPr>
              <w:spacing w:after="0" w:line="240" w:lineRule="auto"/>
              <w:rPr>
                <w:i w:val="1"/>
                <w:iCs w:val="1"/>
                <w:sz w:val="22"/>
                <w:szCs w:val="22"/>
              </w:rPr>
            </w:pPr>
            <w:r>
              <w:rPr>
                <w:i w:val="1"/>
                <w:iCs w:val="1"/>
                <w:sz w:val="22"/>
                <w:szCs w:val="22"/>
                <w:rtl w:val="0"/>
              </w:rPr>
              <w:t xml:space="preserve">Trifolium ornithopodioides </w:t>
            </w:r>
          </w:p>
          <w:p w:rsidR="00000000" w:rsidDel="00000000" w:rsidP="00000000" w:rsidRDefault="00000000" w:rsidRPr="00000000" w14:paraId="00000075">
            <w:pPr>
              <w:spacing w:after="0" w:line="240" w:lineRule="auto"/>
              <w:rPr>
                <w:i w:val="1"/>
                <w:iCs w:val="1"/>
                <w:sz w:val="22"/>
                <w:szCs w:val="22"/>
              </w:rPr>
            </w:pPr>
            <w:r>
              <w:rPr>
                <w:i w:val="1"/>
                <w:iCs w:val="1"/>
                <w:sz w:val="22"/>
                <w:szCs w:val="22"/>
                <w:rtl w:val="0"/>
              </w:rPr>
              <w:t xml:space="preserve">Lotus angustissimus</w:t>
            </w:r>
          </w:p>
          <w:p w:rsidR="00000000" w:rsidDel="00000000" w:rsidP="00000000" w:rsidRDefault="00000000" w:rsidRPr="00000000" w14:paraId="00000076">
            <w:pPr>
              <w:spacing w:after="0" w:line="240" w:lineRule="auto"/>
              <w:rPr>
                <w:i w:val="1"/>
                <w:iCs w:val="1"/>
                <w:sz w:val="22"/>
                <w:szCs w:val="22"/>
              </w:rPr>
            </w:pPr>
            <w:r>
              <w:rPr>
                <w:i w:val="1"/>
                <w:iCs w:val="1"/>
                <w:sz w:val="22"/>
                <w:szCs w:val="22"/>
                <w:rtl w:val="0"/>
              </w:rPr>
              <w:t xml:space="preserve">Veronica catenata</w:t>
            </w:r>
          </w:p>
          <w:p w:rsidR="00000000" w:rsidDel="00000000" w:rsidP="00000000" w:rsidRDefault="00000000" w:rsidRPr="00000000" w14:paraId="00000077">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8">
            <w:pPr>
              <w:spacing w:after="0" w:line="240" w:lineRule="auto"/>
              <w:rPr>
                <w:i w:val="1"/>
                <w:iCs w:val="1"/>
                <w:sz w:val="22"/>
                <w:szCs w:val="22"/>
              </w:rPr>
            </w:pPr>
            <w:r>
              <w:rPr>
                <w:i w:val="1"/>
                <w:iCs w:val="1"/>
                <w:sz w:val="22"/>
                <w:szCs w:val="22"/>
                <w:rtl w:val="0"/>
              </w:rPr>
              <w:t xml:space="preserve">Sympetrum sanguineum</w:t>
            </w:r>
          </w:p>
          <w:p w:rsidR="00000000" w:rsidDel="00000000" w:rsidP="00000000" w:rsidRDefault="00000000" w:rsidRPr="00000000" w14:paraId="00000079">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A031 Ciconia ciconia</w:t>
            </w:r>
          </w:p>
          <w:p w:rsidR="00000000" w:rsidDel="00000000" w:rsidP="00000000" w:rsidRDefault="00000000" w:rsidRPr="00000000" w14:paraId="0000007B">
            <w:pPr>
              <w:spacing w:after="0" w:line="24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7C">
            <w:pPr>
              <w:spacing w:after="0" w:line="240" w:lineRule="auto"/>
              <w:rPr>
                <w:i w:val="1"/>
                <w:iCs w:val="1"/>
                <w:sz w:val="22"/>
                <w:szCs w:val="22"/>
              </w:rPr>
            </w:pPr>
            <w:r>
              <w:rPr>
                <w:i w:val="1"/>
                <w:iCs w:val="1"/>
                <w:sz w:val="22"/>
                <w:szCs w:val="22"/>
                <w:rtl w:val="0"/>
              </w:rPr>
              <w:t xml:space="preserve">A083 Circus macrourus</w:t>
            </w:r>
          </w:p>
          <w:p w:rsidR="00000000" w:rsidDel="00000000" w:rsidP="00000000" w:rsidRDefault="00000000" w:rsidRPr="00000000" w14:paraId="0000007D">
            <w:pPr>
              <w:spacing w:after="0" w:line="240" w:lineRule="auto"/>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7E">
            <w:pP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7F">
            <w:pPr>
              <w:spacing w:after="0" w:line="240" w:lineRule="auto"/>
              <w:rPr>
                <w:i w:val="1"/>
                <w:iCs w:val="1"/>
                <w:sz w:val="22"/>
                <w:szCs w:val="22"/>
              </w:rPr>
            </w:pPr>
            <w:r>
              <w:rPr>
                <w:i w:val="1"/>
                <w:iCs w:val="1"/>
                <w:sz w:val="22"/>
                <w:szCs w:val="22"/>
                <w:rtl w:val="0"/>
              </w:rPr>
              <w:t xml:space="preserve">A097 Falco vespertinus</w:t>
            </w:r>
          </w:p>
          <w:p w:rsidR="00000000" w:rsidDel="00000000" w:rsidP="00000000" w:rsidRDefault="00000000" w:rsidRPr="00000000" w14:paraId="00000080">
            <w:pPr>
              <w:spacing w:after="0" w:line="240" w:lineRule="auto"/>
              <w:rPr>
                <w:b w:val="1"/>
                <w:bCs w:val="1"/>
                <w:sz w:val="22"/>
                <w:szCs w:val="22"/>
              </w:rPr>
            </w:pPr>
            <w:r>
              <w:rPr>
                <w:i w:val="1"/>
                <w:iCs w:val="1"/>
                <w:sz w:val="22"/>
                <w:szCs w:val="22"/>
                <w:rtl w:val="0"/>
              </w:rPr>
              <w:t xml:space="preserve">A255 Anthus campestris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pPr>
            <w:r>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Pr>
                <w:rtl w:val="0"/>
              </w:rPr>
            </w:r>
          </w:p>
          <w:p w:rsidR="00000000" w:rsidDel="00000000" w:rsidP="00000000" w:rsidRDefault="00000000" w:rsidRPr="00000000" w14:paraId="00000083">
            <w:pPr>
              <w:spacing w:after="0" w:lineRule="auto"/>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84">
            <w:pPr>
              <w:jc w:val="both"/>
              <w:rPr/>
            </w:pPr>
            <w:r>
              <w:rPr>
                <w:sz w:val="22"/>
                <w:szCs w:val="22"/>
                <w:rtl w:val="0"/>
              </w:rPr>
              <w:t xml:space="preserve">Desemnarea ca ZPB se fundamentează pe criteriul stabilit de metodologie pentru rezervații 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40" w:lineRule="auto"/>
              <w:rPr>
                <w:sz w:val="22"/>
                <w:szCs w:val="22"/>
              </w:rPr>
            </w:pPr>
            <w:r>
              <w:rPr>
                <w:sz w:val="22"/>
                <w:szCs w:val="22"/>
                <w:rtl w:val="0"/>
              </w:rPr>
              <w:t xml:space="preserve">A04.01 păşunatul intensiv</w:t>
            </w:r>
          </w:p>
          <w:p w:rsidR="00000000" w:rsidDel="00000000" w:rsidP="00000000" w:rsidRDefault="00000000" w:rsidRPr="00000000" w14:paraId="00000087">
            <w:pPr>
              <w:spacing w:after="0" w:line="240" w:lineRule="auto"/>
              <w:rPr>
                <w:sz w:val="22"/>
                <w:szCs w:val="22"/>
              </w:rPr>
            </w:pPr>
            <w:r>
              <w:rPr>
                <w:sz w:val="22"/>
                <w:szCs w:val="22"/>
                <w:rtl w:val="0"/>
              </w:rPr>
              <w:t xml:space="preserve">I01 Specii invazive non-native (alogene)</w:t>
            </w:r>
          </w:p>
          <w:p w:rsidR="00000000" w:rsidDel="00000000" w:rsidP="00000000" w:rsidRDefault="00000000" w:rsidRPr="00000000" w14:paraId="00000088">
            <w:pPr>
              <w:spacing w:after="0" w:line="240" w:lineRule="auto"/>
              <w:rPr>
                <w:sz w:val="22"/>
                <w:szCs w:val="22"/>
              </w:rPr>
            </w:pPr>
            <w:r>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240" w:lineRule="auto"/>
              <w:jc w:val="both"/>
              <w:rPr>
                <w:sz w:val="22"/>
                <w:szCs w:val="22"/>
              </w:rPr>
            </w:pPr>
            <w:r>
              <w:rPr>
                <w:b w:val="1"/>
                <w:bCs w:val="1"/>
                <w:sz w:val="22"/>
                <w:szCs w:val="22"/>
                <w:rtl w:val="0"/>
              </w:rPr>
              <w:t xml:space="preserve">Obiective și măsuri pentru habitatele de pajiști seminaturale din ZPB – regim de management activ</w:t>
            </w:r>
            <w:r>
              <w:rPr>
                <w:rtl w:val="0"/>
              </w:rPr>
            </w:r>
          </w:p>
          <w:p w:rsidR="00000000" w:rsidDel="00000000" w:rsidP="00000000" w:rsidRDefault="00000000" w:rsidRPr="00000000" w14:paraId="0000008B">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C">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E">
            <w:pPr>
              <w:spacing w:after="0" w:line="240" w:lineRule="auto"/>
              <w:jc w:val="both"/>
              <w:rPr>
                <w:sz w:val="22"/>
                <w:szCs w:val="22"/>
              </w:rPr>
            </w:pPr>
            <w:r>
              <w:rPr>
                <w:b w:val="1"/>
                <w:bCs w:val="1"/>
                <w:sz w:val="22"/>
                <w:szCs w:val="22"/>
                <w:rtl w:val="0"/>
              </w:rPr>
              <w:t xml:space="preserve">O1. </w:t>
            </w:r>
            <w:r>
              <w:rPr>
                <w:sz w:val="22"/>
                <w:szCs w:val="22"/>
                <w:rtl w:val="0"/>
              </w:rPr>
              <w:t xml:space="preserve">Menținerea suprafețelor de pajiști și prevenirea abandonului sau conversiei către alte categorii de folosință.</w:t>
            </w:r>
          </w:p>
          <w:p w:rsidR="00000000" w:rsidDel="00000000" w:rsidP="00000000" w:rsidRDefault="00000000" w:rsidRPr="00000000" w14:paraId="0000008F">
            <w:pPr>
              <w:spacing w:after="0" w:line="240" w:lineRule="auto"/>
              <w:jc w:val="both"/>
              <w:rPr>
                <w:sz w:val="22"/>
                <w:szCs w:val="22"/>
              </w:rPr>
            </w:pPr>
            <w:r>
              <w:rPr>
                <w:b w:val="1"/>
                <w:bCs w:val="1"/>
                <w:sz w:val="22"/>
                <w:szCs w:val="22"/>
                <w:rtl w:val="0"/>
              </w:rPr>
              <w:t xml:space="preserve">O2. </w:t>
            </w:r>
            <w:r>
              <w:rPr>
                <w:sz w:val="22"/>
                <w:szCs w:val="22"/>
                <w:rtl w:val="0"/>
              </w:rPr>
              <w:t xml:space="preserve">Menținerea unei structuri mozaicate favorabile biodiversității.</w:t>
            </w:r>
          </w:p>
          <w:p w:rsidR="00000000" w:rsidDel="00000000" w:rsidP="00000000" w:rsidRDefault="00000000" w:rsidRPr="00000000" w14:paraId="00000090">
            <w:pPr>
              <w:spacing w:after="0" w:line="240" w:lineRule="auto"/>
              <w:jc w:val="both"/>
              <w:rPr>
                <w:sz w:val="22"/>
                <w:szCs w:val="22"/>
              </w:rPr>
            </w:pPr>
            <w:r>
              <w:rPr>
                <w:b w:val="1"/>
                <w:bCs w:val="1"/>
                <w:sz w:val="22"/>
                <w:szCs w:val="22"/>
                <w:rtl w:val="0"/>
              </w:rPr>
              <w:t xml:space="preserve">O3. </w:t>
            </w:r>
            <w:r>
              <w:rPr>
                <w:sz w:val="22"/>
                <w:szCs w:val="22"/>
                <w:rtl w:val="0"/>
              </w:rPr>
              <w:t xml:space="preserve">Evitarea degradării habitatelor prin suprapășunat, subpășunat, compactarea solului și eroziune.</w:t>
            </w:r>
          </w:p>
          <w:p w:rsidR="00000000" w:rsidDel="00000000" w:rsidP="00000000" w:rsidRDefault="00000000" w:rsidRPr="00000000" w14:paraId="00000091">
            <w:pPr>
              <w:spacing w:after="0" w:line="240" w:lineRule="auto"/>
              <w:jc w:val="both"/>
              <w:rPr>
                <w:sz w:val="22"/>
                <w:szCs w:val="22"/>
              </w:rPr>
            </w:pPr>
            <w:r>
              <w:rPr>
                <w:b w:val="1"/>
                <w:bCs w:val="1"/>
                <w:sz w:val="22"/>
                <w:szCs w:val="22"/>
                <w:rtl w:val="0"/>
              </w:rPr>
              <w:t xml:space="preserve">O4. </w:t>
            </w:r>
            <w:r>
              <w:rPr>
                <w:sz w:val="22"/>
                <w:szCs w:val="22"/>
                <w:rtl w:val="0"/>
              </w:rPr>
              <w:t xml:space="preserve">Limitarea utilizării substanțelor chimice și prevenirea eutrofizării habitatelor.</w:t>
            </w:r>
          </w:p>
          <w:p w:rsidR="00000000" w:rsidDel="00000000" w:rsidP="00000000" w:rsidRDefault="00000000" w:rsidRPr="00000000" w14:paraId="00000092">
            <w:pPr>
              <w:spacing w:after="0" w:line="240" w:lineRule="auto"/>
              <w:jc w:val="both"/>
              <w:rPr>
                <w:sz w:val="22"/>
                <w:szCs w:val="22"/>
              </w:rPr>
            </w:pPr>
            <w:r>
              <w:rPr>
                <w:b w:val="1"/>
                <w:bCs w:val="1"/>
                <w:sz w:val="22"/>
                <w:szCs w:val="22"/>
                <w:rtl w:val="0"/>
              </w:rPr>
              <w:t xml:space="preserve">O5. </w:t>
            </w:r>
            <w:r>
              <w:rPr>
                <w:sz w:val="22"/>
                <w:szCs w:val="22"/>
                <w:rtl w:val="0"/>
              </w:rPr>
              <w:t xml:space="preserve">Controlul speciilor invazive și limitarea instalării vegetației lemnoase.</w:t>
            </w:r>
          </w:p>
          <w:p w:rsidR="00000000" w:rsidDel="00000000" w:rsidP="00000000" w:rsidRDefault="00000000" w:rsidRPr="00000000" w14:paraId="00000093">
            <w:pPr>
              <w:spacing w:after="0" w:line="240" w:lineRule="auto"/>
              <w:jc w:val="both"/>
              <w:rPr>
                <w:sz w:val="22"/>
                <w:szCs w:val="22"/>
              </w:rPr>
            </w:pPr>
            <w:r>
              <w:rPr>
                <w:b w:val="1"/>
                <w:bCs w:val="1"/>
                <w:sz w:val="22"/>
                <w:szCs w:val="22"/>
                <w:rtl w:val="0"/>
              </w:rPr>
              <w:t xml:space="preserve">O6. </w:t>
            </w:r>
            <w:r>
              <w:rPr>
                <w:sz w:val="22"/>
                <w:szCs w:val="22"/>
                <w:rtl w:val="0"/>
              </w:rPr>
              <w:t xml:space="preserve">Monitorizarea utilizării habitatelor și adaptarea managementului în funcție de rezultate.</w:t>
            </w:r>
          </w:p>
          <w:p w:rsidR="00000000" w:rsidDel="00000000" w:rsidP="00000000" w:rsidRDefault="00000000" w:rsidRPr="00000000" w14:paraId="00000094">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5">
            <w:pPr>
              <w:spacing w:after="0" w:line="240" w:lineRule="auto"/>
              <w:jc w:val="both"/>
              <w:rPr>
                <w:sz w:val="22"/>
                <w:szCs w:val="22"/>
              </w:rPr>
            </w:pPr>
            <w:r>
              <w:rPr>
                <w:b w:val="1"/>
                <w:bCs w:val="1"/>
                <w:sz w:val="22"/>
                <w:szCs w:val="22"/>
                <w:rtl w:val="0"/>
              </w:rPr>
              <w:t xml:space="preserve">1. </w:t>
            </w:r>
            <w:r>
              <w:rPr>
                <w:sz w:val="22"/>
                <w:szCs w:val="22"/>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6">
            <w:pPr>
              <w:spacing w:after="0" w:line="240" w:lineRule="auto"/>
              <w:jc w:val="both"/>
              <w:rPr>
                <w:sz w:val="22"/>
                <w:szCs w:val="22"/>
              </w:rPr>
            </w:pPr>
            <w:r>
              <w:rPr>
                <w:b w:val="1"/>
                <w:bCs w:val="1"/>
                <w:sz w:val="22"/>
                <w:szCs w:val="22"/>
                <w:rtl w:val="0"/>
              </w:rPr>
              <w:t xml:space="preserve">2. </w:t>
            </w:r>
            <w:r>
              <w:rPr>
                <w:sz w:val="22"/>
                <w:szCs w:val="22"/>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7">
            <w:pPr>
              <w:spacing w:after="0" w:line="240" w:lineRule="auto"/>
              <w:jc w:val="both"/>
              <w:rPr>
                <w:sz w:val="22"/>
                <w:szCs w:val="22"/>
              </w:rPr>
            </w:pPr>
            <w:r>
              <w:rPr>
                <w:b w:val="1"/>
                <w:bCs w:val="1"/>
                <w:sz w:val="22"/>
                <w:szCs w:val="22"/>
                <w:rtl w:val="0"/>
              </w:rPr>
              <w:t xml:space="preserve">3. </w:t>
            </w:r>
            <w:r>
              <w:rPr>
                <w:sz w:val="22"/>
                <w:szCs w:val="22"/>
                <w:rtl w:val="0"/>
              </w:rPr>
              <w:t xml:space="preserve">Cosirea se realizează astfel încât să permită retragerea faunei, menținându-se anual suprafețe-refugiu necosite temporar.</w:t>
            </w:r>
          </w:p>
          <w:p w:rsidR="00000000" w:rsidDel="00000000" w:rsidP="00000000" w:rsidRDefault="00000000" w:rsidRPr="00000000" w14:paraId="00000098">
            <w:pPr>
              <w:spacing w:after="0" w:line="240" w:lineRule="auto"/>
              <w:jc w:val="both"/>
              <w:rPr>
                <w:sz w:val="22"/>
                <w:szCs w:val="22"/>
              </w:rPr>
            </w:pPr>
            <w:r>
              <w:rPr>
                <w:b w:val="1"/>
                <w:bCs w:val="1"/>
                <w:sz w:val="22"/>
                <w:szCs w:val="22"/>
                <w:rtl w:val="0"/>
              </w:rPr>
              <w:t xml:space="preserve">4. </w:t>
            </w:r>
            <w:r>
              <w:rPr>
                <w:sz w:val="22"/>
                <w:szCs w:val="22"/>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99">
            <w:pPr>
              <w:spacing w:after="0" w:line="240" w:lineRule="auto"/>
              <w:jc w:val="both"/>
              <w:rPr>
                <w:sz w:val="22"/>
                <w:szCs w:val="22"/>
              </w:rPr>
            </w:pPr>
            <w:r>
              <w:rPr>
                <w:b w:val="1"/>
                <w:bCs w:val="1"/>
                <w:sz w:val="22"/>
                <w:szCs w:val="22"/>
                <w:rtl w:val="0"/>
              </w:rPr>
              <w:t xml:space="preserve">5. </w:t>
            </w:r>
            <w:r>
              <w:rPr>
                <w:sz w:val="22"/>
                <w:szCs w:val="22"/>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A">
            <w:pPr>
              <w:spacing w:after="0" w:line="240" w:lineRule="auto"/>
              <w:jc w:val="both"/>
              <w:rPr>
                <w:sz w:val="22"/>
                <w:szCs w:val="22"/>
              </w:rPr>
            </w:pPr>
            <w:r>
              <w:rPr>
                <w:b w:val="1"/>
                <w:bCs w:val="1"/>
                <w:sz w:val="22"/>
                <w:szCs w:val="22"/>
                <w:rtl w:val="0"/>
              </w:rPr>
              <w:t xml:space="preserve">6. </w:t>
            </w:r>
            <w:r>
              <w:rPr>
                <w:sz w:val="22"/>
                <w:szCs w:val="22"/>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B">
            <w:pPr>
              <w:spacing w:after="0" w:line="240" w:lineRule="auto"/>
              <w:jc w:val="both"/>
              <w:rPr>
                <w:sz w:val="22"/>
                <w:szCs w:val="22"/>
              </w:rPr>
            </w:pPr>
            <w:r>
              <w:rPr>
                <w:b w:val="1"/>
                <w:bCs w:val="1"/>
                <w:sz w:val="22"/>
                <w:szCs w:val="22"/>
                <w:rtl w:val="0"/>
              </w:rPr>
              <w:t xml:space="preserve">7. </w:t>
            </w:r>
            <w:r>
              <w:rPr>
                <w:sz w:val="22"/>
                <w:szCs w:val="22"/>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C">
            <w:pPr>
              <w:spacing w:after="0" w:line="240" w:lineRule="auto"/>
              <w:jc w:val="both"/>
              <w:rPr>
                <w:sz w:val="22"/>
                <w:szCs w:val="22"/>
              </w:rPr>
            </w:pPr>
            <w:r>
              <w:rPr>
                <w:b w:val="1"/>
                <w:bCs w:val="1"/>
                <w:sz w:val="22"/>
                <w:szCs w:val="22"/>
                <w:rtl w:val="0"/>
              </w:rPr>
              <w:t xml:space="preserve">8. </w:t>
            </w:r>
            <w:r>
              <w:rPr>
                <w:sz w:val="22"/>
                <w:szCs w:val="22"/>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9. </w:t>
            </w:r>
            <w:r>
              <w:rPr>
                <w:sz w:val="22"/>
                <w:szCs w:val="22"/>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10. </w:t>
            </w:r>
            <w:r>
              <w:rPr>
                <w:sz w:val="22"/>
                <w:szCs w:val="22"/>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F">
            <w:pPr>
              <w:spacing w:after="0" w:line="240" w:lineRule="auto"/>
              <w:jc w:val="both"/>
              <w:rPr>
                <w:sz w:val="22"/>
                <w:szCs w:val="22"/>
              </w:rPr>
            </w:pPr>
            <w:r>
              <w:rPr>
                <w:b w:val="1"/>
                <w:bCs w:val="1"/>
                <w:sz w:val="22"/>
                <w:szCs w:val="22"/>
                <w:rtl w:val="0"/>
              </w:rPr>
              <w:t xml:space="preserve">11. </w:t>
            </w:r>
            <w:r>
              <w:rPr>
                <w:sz w:val="22"/>
                <w:szCs w:val="22"/>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12. </w:t>
            </w:r>
            <w:r>
              <w:rPr>
                <w:sz w:val="22"/>
                <w:szCs w:val="22"/>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13. </w:t>
            </w:r>
            <w:r>
              <w:rPr>
                <w:sz w:val="22"/>
                <w:szCs w:val="22"/>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14. </w:t>
            </w:r>
            <w:r>
              <w:rPr>
                <w:sz w:val="22"/>
                <w:szCs w:val="22"/>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15. </w:t>
            </w:r>
            <w:r>
              <w:rPr>
                <w:sz w:val="22"/>
                <w:szCs w:val="22"/>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A4">
            <w:pPr>
              <w:spacing w:after="0" w:line="240" w:lineRule="auto"/>
              <w:jc w:val="both"/>
              <w:rPr>
                <w:sz w:val="22"/>
                <w:szCs w:val="22"/>
              </w:rPr>
            </w:pPr>
            <w:r>
              <w:rPr>
                <w:b w:val="1"/>
                <w:bCs w:val="1"/>
                <w:sz w:val="22"/>
                <w:szCs w:val="22"/>
                <w:rtl w:val="0"/>
              </w:rPr>
              <w:t xml:space="preserve">16. </w:t>
            </w:r>
            <w:r>
              <w:rPr>
                <w:sz w:val="22"/>
                <w:szCs w:val="22"/>
                <w:rtl w:val="0"/>
              </w:rPr>
              <w:t xml:space="preserve">Activitățile turistice și recreative se desfășoară fără afectarea habitatelor și a speciilor de interes conservativ.</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17. </w:t>
            </w:r>
            <w:r>
              <w:rPr>
                <w:sz w:val="22"/>
                <w:szCs w:val="22"/>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A8">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 I., 2002. Vegetaţia solurilor sărăturate din România. Contribuţii Botanice, XXX(2) - 1999-2000: 285-332, Grădina Botanică "Alexandru Borza" Cluj-Napoca.     </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Posea Gr. - 1997, Câmpia de Vest a României, Editura Fundaţiei "România de Mâine", Bucureşti</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Sârbu A., Sârbu I., Oprea Ad., Negrean G., Cristea V., Coldea Gh., Cristurean I., Popescu Gh., Oroian S., Tănase C., Bartók K., Gafta D., Anastasiu P., Crişan Fl., Costache I., Goia I., Maruşca Th., Oţel V., Sămărghiţan M., Henţea S., Pascale G., Răduţoiu D., Baz Ad., Boruz v., Puşcas M., Hiriţiu M. &amp; Frink J. 2007. Arii speciale pentru protecţia şi conservarea plantelor în România. Bucureşti, Ed. Victor B. Victor, 396 p   </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Stere Gr., 1977, Flora şi vegetaţia rezervaţiei de sărături de la Diniaş, Judeţul Timiş, Tibiscus, Şt. Nat., Muz. Banatului, Timişoara: 49-68 + 4 foto</w:t>
      </w:r>
    </w:p>
    <w:p w:rsidR="00000000" w:rsidDel="00000000" w:rsidP="00000000" w:rsidRDefault="00000000" w:rsidRPr="00000000" w14:paraId="000000AD">
      <w:pPr>
        <w:spacing w:after="120" w:before="480" w:line="300" w:lineRule="auto"/>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3 februarie 2025 – Timișoara, jud. Timiș. Ulterior, în cadrul procesului de consultare extins la nivel național, au avut loc consultări suplimentare online, în data de 10 decembrie 2025 cu participarea factorilor interesați relevanți din județul Timiș, urmată de consultări publice la Prefectura Timiș.</w:t>
      </w:r>
    </w:p>
    <w:p w:rsidR="00000000" w:rsidDel="00000000" w:rsidP="00000000" w:rsidRDefault="00000000" w:rsidRPr="00000000" w14:paraId="000000AF">
      <w:pPr>
        <w:spacing w:after="0" w:line="300" w:lineRule="auto"/>
        <w:jc w:val="center"/>
        <w:rPr>
          <w:b w:val="1"/>
          <w:bCs w:val="1"/>
          <w:sz w:val="22"/>
          <w:szCs w:val="22"/>
        </w:rPr>
      </w:pPr>
      <w:bookmarkStart w:colFirst="0" w:colLast="0" w:name="_heading=h.venjbad48mtw" w:id="0"/>
      <w:bookmarkEnd w:id="0"/>
      <w:r>
        <w:rPr>
          <w:rtl w:val="0"/>
        </w:rPr>
      </w:r>
    </w:p>
    <w:p w:rsidR="00000000" w:rsidDel="00000000" w:rsidP="00000000" w:rsidRDefault="00000000" w:rsidRPr="00000000" w14:paraId="000000B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B1">
      <w:pPr>
        <w:spacing w:after="0" w:line="300" w:lineRule="auto"/>
        <w:rPr>
          <w:sz w:val="22"/>
          <w:szCs w:val="22"/>
        </w:rPr>
      </w:pPr>
      <w:r>
        <w:rPr>
          <w:sz w:val="22"/>
          <w:szCs w:val="22"/>
          <w:rtl w:val="0"/>
        </w:rPr>
        <w:t xml:space="preserve">Limitele Zonelor Prioritare pentru Biodiversitate sunt disponibile în format digital: Link: </w:t>
      </w:r>
      <w:hyperlink r:id="rId9">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B2">
      <w:pPr>
        <w:spacing w:after="0" w:line="300" w:lineRule="auto"/>
        <w:rPr>
          <w:sz w:val="22"/>
          <w:szCs w:val="22"/>
        </w:rPr>
      </w:pPr>
      <w:r>
        <w:rPr>
          <w:rtl w:val="0"/>
        </w:rPr>
      </w:r>
    </w:p>
    <w:p w:rsidR="00000000" w:rsidDel="00000000" w:rsidP="00000000" w:rsidRDefault="00000000" w:rsidRPr="00000000" w14:paraId="000000B3">
      <w:pPr>
        <w:spacing w:after="120" w:before="480" w:line="300" w:lineRule="auto"/>
        <w:jc w:val="cente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P52FpATvIOk7NEA0lGRsbzqRX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XVUbVV2OBAIGgtBQUFCOXVUbVV2OCLiAQoLQUFBQjl1VG1VdjgSsgEKC0FBQUI5dVRtVXY4EgtBQUFCOXVUbVV2OBoUCgl0ZXh0L2h0bWwSB29NIDEwNjYiFQoKdGV4dC9wbGFpbhIHb00gMTA2NiobIhUxMTc0MDMyMTMxNzcyMDQxNDYzNTYoADgAMI+k64PtMziPpOuD7TNKFQoKdGV4dC9wbGFpbhIHRGluaWHImVoMcHE1djI2NHIwNXBhcgIgAHgAmgEGCAAQABgAqgEJEgdvTSAxMDY2GI+k64PtMyCPpOuD7TNCEGtpeC5sa2k2bDR2OWc2d3EyDmgudmVuamJhZDQ4bXR3OAByITExbXJJZmVJOGkxUW5zQ2ROOUt0U3Y1RFE3Ynl6UEVk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